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9" w:lineRule="auto"/>
        <w:ind w:left="4426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Allegato 1 – Format richiesta di attivazione assistenza tecnica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110490</wp:posOffset>
            </wp:positionH>
            <wp:positionV relativeFrom="paragraph">
              <wp:posOffset>131258</wp:posOffset>
            </wp:positionV>
            <wp:extent cx="1866025" cy="502920"/>
            <wp:effectExtent b="0" l="0" r="0" t="0"/>
            <wp:wrapTopAndBottom distB="0" dist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6025" cy="502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2439924</wp:posOffset>
            </wp:positionH>
            <wp:positionV relativeFrom="paragraph">
              <wp:posOffset>186121</wp:posOffset>
            </wp:positionV>
            <wp:extent cx="1375079" cy="456819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5079" cy="4568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3901344</wp:posOffset>
            </wp:positionH>
            <wp:positionV relativeFrom="paragraph">
              <wp:posOffset>223251</wp:posOffset>
            </wp:positionV>
            <wp:extent cx="2428168" cy="347852"/>
            <wp:effectExtent b="0" l="0" r="0" t="0"/>
            <wp:wrapTopAndBottom distB="0" dist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8168" cy="3478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92" w:lineRule="auto"/>
        <w:ind w:left="2282" w:right="256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FABBISOGNO DI ASSISTENZA TECNICA PNRR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1"/>
          <w:tab w:val="left" w:pos="10163"/>
        </w:tabs>
        <w:spacing w:after="0" w:before="43" w:line="240" w:lineRule="auto"/>
        <w:ind w:left="500" w:right="0" w:hanging="391"/>
        <w:jc w:val="left"/>
        <w:rPr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8"/>
          <w:szCs w:val="28"/>
          <w:u w:val="none"/>
          <w:shd w:fill="818181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2"/>
          <w:szCs w:val="22"/>
          <w:u w:val="none"/>
          <w:shd w:fill="818181" w:val="clear"/>
          <w:vertAlign w:val="baseline"/>
          <w:rtl w:val="0"/>
        </w:rPr>
        <w:t xml:space="preserve">NAGRAFICA ED INQUADRAMENTO PROGRAMMATICO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B">
      <w:pPr>
        <w:pStyle w:val="Heading1"/>
        <w:ind w:firstLine="146"/>
        <w:rPr/>
      </w:pPr>
      <w:r w:rsidDel="00000000" w:rsidR="00000000" w:rsidRPr="00000000">
        <w:rPr>
          <w:color w:val="595958"/>
          <w:rtl w:val="0"/>
        </w:rPr>
        <w:t xml:space="preserve">Amministrazione Titolare responsabile intervento PNRR/PNC richiedente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" w:line="240" w:lineRule="auto"/>
        <w:ind w:left="17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0505"/>
          <w:sz w:val="22"/>
          <w:szCs w:val="22"/>
          <w:u w:val="none"/>
          <w:shd w:fill="auto" w:val="clear"/>
          <w:vertAlign w:val="baseline"/>
          <w:rtl w:val="0"/>
        </w:rPr>
        <w:t xml:space="preserve">Fare clic o toccare qui per immettere il testo.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0F">
      <w:pPr>
        <w:pStyle w:val="Heading1"/>
        <w:ind w:firstLine="146"/>
        <w:rPr/>
      </w:pPr>
      <w:r w:rsidDel="00000000" w:rsidR="00000000" w:rsidRPr="00000000">
        <w:rPr>
          <w:color w:val="595958"/>
          <w:rtl w:val="0"/>
        </w:rPr>
        <w:t xml:space="preserve">Riferimenti intervento PNRR/PNC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" w:line="259" w:lineRule="auto"/>
        <w:ind w:left="174" w:right="30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6840" w:w="11910" w:orient="portrait"/>
          <w:pgMar w:bottom="280" w:top="660" w:left="960" w:right="680" w:header="360" w:footer="36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0505"/>
          <w:sz w:val="22"/>
          <w:szCs w:val="22"/>
          <w:u w:val="none"/>
          <w:shd w:fill="auto" w:val="clear"/>
          <w:vertAlign w:val="baseline"/>
          <w:rtl w:val="0"/>
        </w:rPr>
        <w:t xml:space="preserve">Indicare gli interventi PNRR/PNC per i quali si manifestano esigenze specifiche di supporto tecnico operativo da attivare: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"/>
          <w:tab w:val="left" w:pos="894"/>
          <w:tab w:val="left" w:pos="8601"/>
        </w:tabs>
        <w:spacing w:after="0" w:before="161" w:line="240" w:lineRule="auto"/>
        <w:ind w:left="893" w:right="0" w:hanging="361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0505"/>
          <w:sz w:val="22"/>
          <w:szCs w:val="22"/>
          <w:u w:val="none"/>
          <w:shd w:fill="auto" w:val="clear"/>
          <w:vertAlign w:val="baseline"/>
          <w:rtl w:val="0"/>
        </w:rPr>
        <w:t xml:space="preserve">Missione _, Componente _, Investimento/subinvestimento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0505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72"/>
        </w:tabs>
        <w:spacing w:after="0" w:before="20" w:line="240" w:lineRule="auto"/>
        <w:ind w:left="89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0505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0505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"/>
          <w:tab w:val="left" w:pos="894"/>
          <w:tab w:val="left" w:pos="8601"/>
        </w:tabs>
        <w:spacing w:after="0" w:before="21" w:line="240" w:lineRule="auto"/>
        <w:ind w:left="893" w:right="0" w:hanging="361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0505"/>
          <w:sz w:val="22"/>
          <w:szCs w:val="22"/>
          <w:u w:val="none"/>
          <w:shd w:fill="auto" w:val="clear"/>
          <w:vertAlign w:val="baseline"/>
          <w:rtl w:val="0"/>
        </w:rPr>
        <w:t xml:space="preserve">Missione _, Componente _, Investimento/subinvestimento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0505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72"/>
        </w:tabs>
        <w:spacing w:after="0" w:before="22" w:line="240" w:lineRule="auto"/>
        <w:ind w:left="89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0505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0505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018">
      <w:pPr>
        <w:pStyle w:val="Heading1"/>
        <w:spacing w:before="1" w:lineRule="auto"/>
        <w:ind w:firstLine="146"/>
        <w:rPr/>
      </w:pPr>
      <w:r w:rsidDel="00000000" w:rsidR="00000000" w:rsidRPr="00000000">
        <w:rPr>
          <w:color w:val="595958"/>
          <w:rtl w:val="0"/>
        </w:rPr>
        <w:t xml:space="preserve">Ambito di intervento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05"/>
          <w:tab w:val="left" w:pos="3713"/>
          <w:tab w:val="left" w:pos="6545"/>
        </w:tabs>
        <w:spacing w:after="0" w:before="171" w:line="240" w:lineRule="auto"/>
        <w:ind w:left="174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Ambiente e risorse naturali</w:t>
        <w:tab/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Agricoltura</w:t>
        <w:tab/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05"/>
          <w:tab w:val="left" w:pos="3713"/>
          <w:tab w:val="left" w:pos="6545"/>
        </w:tabs>
        <w:spacing w:after="0" w:before="144" w:line="240" w:lineRule="auto"/>
        <w:ind w:left="173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Cultura e turismo</w:t>
        <w:tab/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Industria</w:t>
        <w:tab/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05"/>
          <w:tab w:val="left" w:pos="3713"/>
          <w:tab w:val="left" w:pos="6545"/>
        </w:tabs>
        <w:spacing w:after="0" w:before="143" w:line="240" w:lineRule="auto"/>
        <w:ind w:left="173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Trasporti e mobilità</w:t>
        <w:tab/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Artigianato</w:t>
        <w:tab/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05"/>
          <w:tab w:val="left" w:pos="3713"/>
          <w:tab w:val="left" w:pos="6545"/>
        </w:tabs>
        <w:spacing w:after="0" w:before="144" w:line="240" w:lineRule="auto"/>
        <w:ind w:left="173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Riqualificazione urbana</w:t>
        <w:tab/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Servizi</w:t>
        <w:tab/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05"/>
          <w:tab w:val="left" w:pos="3713"/>
        </w:tabs>
        <w:spacing w:after="0" w:before="143" w:line="240" w:lineRule="auto"/>
        <w:ind w:left="173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Infrastrutture sociali</w:t>
        <w:tab/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Terzo Settore/economia civile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" w:line="528" w:lineRule="auto"/>
        <w:ind w:left="73" w:right="23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280" w:top="660" w:left="960" w:right="680" w:header="360" w:footer="360"/>
          <w:cols w:equalWidth="0" w:num="2">
            <w:col w:space="40" w:w="5115"/>
            <w:col w:space="0" w:w="5115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0505"/>
          <w:sz w:val="22"/>
          <w:szCs w:val="22"/>
          <w:u w:val="none"/>
          <w:shd w:fill="auto" w:val="clear"/>
          <w:vertAlign w:val="baseline"/>
          <w:rtl w:val="0"/>
        </w:rPr>
        <w:t xml:space="preserve">o/e riforma o/e riforma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znysh7" w:id="3"/>
    <w:bookmarkEnd w:id="3"/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4"/>
          <w:tab w:val="left" w:pos="9842"/>
        </w:tabs>
        <w:spacing w:after="0" w:before="44" w:line="240" w:lineRule="auto"/>
        <w:ind w:left="534" w:right="0" w:hanging="390"/>
        <w:jc w:val="both"/>
        <w:rPr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8"/>
          <w:szCs w:val="28"/>
          <w:u w:val="none"/>
          <w:shd w:fill="818181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2"/>
          <w:szCs w:val="22"/>
          <w:u w:val="none"/>
          <w:shd w:fill="818181" w:val="clear"/>
          <w:vertAlign w:val="baseline"/>
          <w:rtl w:val="0"/>
        </w:rPr>
        <w:t xml:space="preserve">ABBISOGNO ATTIVITÀ DI ASSISTENZA TECNICA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9" w:right="45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Indicare il fabbisogno di supporto tecnico operativo esplicitando l’attività di assistenza tecnica</w:t>
      </w:r>
      <w:hyperlink w:anchor="_2et92p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superscript"/>
            <w:rtl w:val="0"/>
          </w:rPr>
          <w:t xml:space="preserve">1</w:t>
        </w:r>
      </w:hyperlink>
      <w:hyperlink w:anchor="_2et92p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 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si richiede di attivare, i destinatari dell’attività (amministrazione titolare, altre amministrazioni attuatrici, etc…), le modalità di attuazione (help desk, task force) e la durata indicativa in termini di mesi.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style="position:absolute;margin-left:8.7pt;margin-top:18.590472440944882pt;width:144pt;height:.72pt;mso-position-horizontal-relative:margin;mso-position-vertical-relative:text;z-index:-15727104;mso-wrap-distance-left:0;mso-wrap-distance-right:0;mso-position-horizontal:absolute;mso-position-vertical:absolute;" filled="true" fillcolor="#000000" stroked="false">
            <v:fill angle="180" type="solid"/>
            <w10:wrap type="topAndBottom"/>
          </v:rect>
        </w:pict>
      </w:r>
    </w:p>
    <w:p w:rsidR="00000000" w:rsidDel="00000000" w:rsidP="00000000" w:rsidRDefault="00000000" w:rsidRPr="00000000" w14:paraId="00000025">
      <w:pPr>
        <w:spacing w:before="69" w:lineRule="auto"/>
        <w:ind w:left="174" w:right="452" w:hanging="1.0000000000000142"/>
        <w:jc w:val="both"/>
        <w:rPr>
          <w:i w:val="1"/>
          <w:sz w:val="20"/>
          <w:szCs w:val="20"/>
        </w:rPr>
      </w:pPr>
      <w:bookmarkStart w:colFirst="0" w:colLast="0" w:name="_2et92p0" w:id="4"/>
      <w:bookmarkEnd w:id="4"/>
      <w:r w:rsidDel="00000000" w:rsidR="00000000" w:rsidRPr="00000000">
        <w:rPr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L’ “assistenza tecnica” ricomprende tutte le azioni di supporto finalizzate a garantire lo svolgimento delle attività richieste nel processo di attuazione complessiva dei PNRR e necessarie a garantire gli adempimenti regolamentari prescritti. Come specificato all’art. 6 paragrafo 2 del Regolamento (UE) 2021/241, fanno parte di questa categoria le attività di preparazione, monitoraggio, controllo, audit e valutazione, in particolare studi, analisi, attività di supporto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" w:line="240" w:lineRule="auto"/>
        <w:ind w:left="0" w:right="452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280" w:top="660" w:left="960" w:right="680" w:header="360" w:footer="36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59" w:lineRule="auto"/>
        <w:ind w:left="159" w:right="45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quanto possibile il fabbisogno va esplicitato per ogni investimento/subinvestimento o riforma per il quale si richiede l’attivazione con collegamento puntuale alla procedura selettiva o di attuazione attivata o di prossima attivazione per garantire il raggiungimento degli obiettivi di competenza.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" w:line="259" w:lineRule="auto"/>
        <w:ind w:left="159" w:right="45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Si precisa che non potrà essere richiesta l’attivazione di attività di supporto tecnico che trovi la relativa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copertura finanziaria in una misura del PNRR o che sia già finanziato con risorse nazionali o comunitarie.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tyjcwt" w:id="5"/>
    <w:bookmarkEnd w:id="5"/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4"/>
          <w:tab w:val="left" w:pos="9842"/>
        </w:tabs>
        <w:spacing w:after="0" w:before="43" w:line="240" w:lineRule="auto"/>
        <w:ind w:left="534" w:right="0" w:hanging="390"/>
        <w:jc w:val="both"/>
        <w:rPr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8"/>
          <w:szCs w:val="28"/>
          <w:u w:val="none"/>
          <w:shd w:fill="818181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2"/>
          <w:szCs w:val="22"/>
          <w:u w:val="none"/>
          <w:shd w:fill="818181" w:val="clear"/>
          <w:vertAlign w:val="baseline"/>
          <w:rtl w:val="0"/>
        </w:rPr>
        <w:t xml:space="preserve">LTRE INFORMAZIONI DI CONTESTO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questa sezione vanno indicate le informazioni di contesto e di impatto sul supporto operativo da attivare</w:t>
      </w:r>
    </w:p>
    <w:bookmarkStart w:colFirst="0" w:colLast="0" w:name="3dy6vkm" w:id="6"/>
    <w:bookmarkEnd w:id="6"/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42"/>
        </w:tabs>
        <w:spacing w:after="0" w:before="181" w:line="240" w:lineRule="auto"/>
        <w:ind w:left="14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8"/>
          <w:szCs w:val="28"/>
          <w:u w:val="none"/>
          <w:shd w:fill="818181" w:val="clear"/>
          <w:vertAlign w:val="baseline"/>
          <w:rtl w:val="0"/>
        </w:rPr>
        <w:t xml:space="preserve">3.1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2"/>
          <w:szCs w:val="22"/>
          <w:u w:val="none"/>
          <w:shd w:fill="818181" w:val="clear"/>
          <w:vertAlign w:val="baseline"/>
          <w:rtl w:val="0"/>
        </w:rPr>
        <w:t xml:space="preserve">ULTERIORI AZIONI DI SUPPORTO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59" w:lineRule="auto"/>
        <w:ind w:left="174" w:right="451" w:hanging="1.000000000000014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questa sottosezione vanno indicate le eventuali ed ulteriori altre azioni di assistenza tecnica e supporto operativo già usufruite da parte della medesima Amministrazione Titolare o dei soggetti attuatori riferiti agli investimenti/riforme di pertinenza, anche se finanziate con altri programmi di spesa, specificando gli elementi di sinergia e complementarità nonché il valore finanziario ed il termine finale di realizzazione.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style="position:absolute;margin-left:8.7pt;margin-top:8.425433070866141pt;width:144pt;height:.72pt;mso-position-horizontal-relative:margin;mso-position-vertical-relative:text;z-index:-15726592;mso-wrap-distance-left:0;mso-wrap-distance-right:0;mso-position-horizontal:absolute;mso-position-vertical:absolute;" filled="true" fillcolor="#000000" stroked="false">
            <v:fill angle="180" type="solid"/>
            <w10:wrap type="topAndBottom"/>
          </v:rect>
        </w:pict>
      </w:r>
    </w:p>
    <w:p w:rsidR="00000000" w:rsidDel="00000000" w:rsidP="00000000" w:rsidRDefault="00000000" w:rsidRPr="00000000" w14:paraId="00000055">
      <w:pPr>
        <w:spacing w:before="71" w:lineRule="auto"/>
        <w:ind w:left="173" w:right="307" w:firstLine="0"/>
        <w:jc w:val="lef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amministrativo alle strutture operative, azioni di informazione e comunicazione, consultazione degli stakeholders, spese legate a reti informatiche destinate all’elaborazione e allo scambio delle informazioni.</w:t>
      </w:r>
    </w:p>
    <w:sectPr>
      <w:type w:val="nextPage"/>
      <w:pgSz w:h="16840" w:w="11910" w:orient="portrait"/>
      <w:pgMar w:bottom="280" w:top="1360" w:left="960" w:right="68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  <w:font w:name="Quattrocento San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0" w:hanging="390"/>
      </w:pPr>
      <w:rPr>
        <w:rFonts w:ascii="Calibri" w:cs="Calibri" w:eastAsia="Calibri" w:hAnsi="Calibri"/>
        <w:color w:val="ffffff"/>
        <w:sz w:val="28"/>
        <w:szCs w:val="28"/>
        <w:shd w:fill="818181" w:val="clear"/>
      </w:rPr>
    </w:lvl>
    <w:lvl w:ilvl="1">
      <w:start w:val="0"/>
      <w:numFmt w:val="bullet"/>
      <w:lvlText w:val="●"/>
      <w:lvlJc w:val="left"/>
      <w:pPr>
        <w:ind w:left="893" w:hanging="360"/>
      </w:pPr>
      <w:rPr>
        <w:rFonts w:ascii="Noto Sans Symbols" w:cs="Noto Sans Symbols" w:eastAsia="Noto Sans Symbols" w:hAnsi="Noto Sans Symbols"/>
        <w:color w:val="050505"/>
        <w:sz w:val="22"/>
        <w:szCs w:val="22"/>
      </w:rPr>
    </w:lvl>
    <w:lvl w:ilvl="2">
      <w:start w:val="0"/>
      <w:numFmt w:val="bullet"/>
      <w:lvlText w:val="•"/>
      <w:lvlJc w:val="left"/>
      <w:pPr>
        <w:ind w:left="1755" w:hanging="360"/>
      </w:pPr>
      <w:rPr/>
    </w:lvl>
    <w:lvl w:ilvl="3">
      <w:start w:val="0"/>
      <w:numFmt w:val="bullet"/>
      <w:lvlText w:val="•"/>
      <w:lvlJc w:val="left"/>
      <w:pPr>
        <w:ind w:left="2611" w:hanging="360"/>
      </w:pPr>
      <w:rPr/>
    </w:lvl>
    <w:lvl w:ilvl="4">
      <w:start w:val="0"/>
      <w:numFmt w:val="bullet"/>
      <w:lvlText w:val="•"/>
      <w:lvlJc w:val="left"/>
      <w:pPr>
        <w:ind w:left="3467" w:hanging="360"/>
      </w:pPr>
      <w:rPr/>
    </w:lvl>
    <w:lvl w:ilvl="5">
      <w:start w:val="0"/>
      <w:numFmt w:val="bullet"/>
      <w:lvlText w:val="•"/>
      <w:lvlJc w:val="left"/>
      <w:pPr>
        <w:ind w:left="4322" w:hanging="360"/>
      </w:pPr>
      <w:rPr/>
    </w:lvl>
    <w:lvl w:ilvl="6">
      <w:start w:val="0"/>
      <w:numFmt w:val="bullet"/>
      <w:lvlText w:val="•"/>
      <w:lvlJc w:val="left"/>
      <w:pPr>
        <w:ind w:left="5178" w:hanging="360"/>
      </w:pPr>
      <w:rPr/>
    </w:lvl>
    <w:lvl w:ilvl="7">
      <w:start w:val="0"/>
      <w:numFmt w:val="bullet"/>
      <w:lvlText w:val="•"/>
      <w:lvlJc w:val="left"/>
      <w:pPr>
        <w:ind w:left="6034" w:hanging="360"/>
      </w:pPr>
      <w:rPr/>
    </w:lvl>
    <w:lvl w:ilvl="8">
      <w:start w:val="0"/>
      <w:numFmt w:val="bullet"/>
      <w:lvlText w:val="•"/>
      <w:lvlJc w:val="left"/>
      <w:pPr>
        <w:ind w:left="689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46"/>
    </w:pPr>
    <w:rPr>
      <w:rFonts w:ascii="Calibri" w:cs="Calibri" w:eastAsia="Calibri" w:hAnsi="Calibri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